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朔州市城市垃圾管理条例（草案</w:t>
      </w:r>
      <w:r>
        <w:rPr>
          <w:rFonts w:hint="eastAsia" w:ascii="方正小标宋简体" w:eastAsia="方正小标宋简体"/>
          <w:color w:val="000000" w:themeColor="text1"/>
          <w:sz w:val="44"/>
          <w:szCs w:val="44"/>
          <w:lang w:eastAsia="zh-CN"/>
          <w14:textFill>
            <w14:solidFill>
              <w14:schemeClr w14:val="tx1"/>
            </w14:solidFill>
          </w14:textFill>
        </w:rPr>
        <w:t>征求稿</w:t>
      </w:r>
      <w:r>
        <w:rPr>
          <w:rFonts w:hint="eastAsia" w:ascii="方正小标宋简体" w:eastAsia="方正小标宋简体"/>
          <w:color w:val="000000" w:themeColor="text1"/>
          <w:sz w:val="44"/>
          <w:szCs w:val="44"/>
          <w14:textFill>
            <w14:solidFill>
              <w14:schemeClr w14:val="tx1"/>
            </w14:solidFill>
          </w14:textFill>
        </w:rPr>
        <w:t>）</w:t>
      </w:r>
    </w:p>
    <w:p>
      <w:pPr>
        <w:spacing w:line="600" w:lineRule="exact"/>
        <w:jc w:val="center"/>
        <w:rPr>
          <w:rFonts w:ascii="CESI仿宋-GB2312" w:hAnsi="CESI仿宋-GB2312" w:eastAsia="CESI仿宋-GB2312" w:cs="CESI仿宋-GB2312"/>
          <w:b/>
          <w:bCs/>
          <w:color w:val="000000" w:themeColor="text1"/>
          <w:sz w:val="32"/>
          <w:szCs w:val="32"/>
          <w14:textFill>
            <w14:solidFill>
              <w14:schemeClr w14:val="tx1"/>
            </w14:solidFill>
          </w14:textFill>
        </w:rPr>
      </w:pPr>
    </w:p>
    <w:p>
      <w:pPr>
        <w:spacing w:line="600" w:lineRule="exact"/>
        <w:jc w:val="center"/>
        <w:rPr>
          <w:rFonts w:ascii="CESI仿宋-GB2312" w:hAnsi="CESI仿宋-GB2312" w:eastAsia="CESI仿宋-GB2312" w:cs="CESI仿宋-GB2312"/>
          <w:b/>
          <w:bCs/>
          <w:color w:val="000000" w:themeColor="text1"/>
          <w:sz w:val="32"/>
          <w:szCs w:val="32"/>
          <w14:textFill>
            <w14:solidFill>
              <w14:schemeClr w14:val="tx1"/>
            </w14:solidFill>
          </w14:textFill>
        </w:rPr>
      </w:pP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第一条 为了加强城市垃圾管理，保护和改善生态环境，创造和维护优美人居环境，推进美丽朔州建设，根据《中华人民共和国固体废物污染环境防治法》、《山西省城乡垃圾管理条例》等法律、法规，结合本市实际，制定本条例。</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第二条 本市行政区域城市建成区内垃圾的产生、收集、贮存、运输、利用、处置以及相关监督管理等活动</w:t>
      </w:r>
      <w:bookmarkStart w:id="0" w:name="_GoBack"/>
      <w:bookmarkEnd w:id="0"/>
      <w:r>
        <w:rPr>
          <w:rFonts w:hint="eastAsia" w:ascii="CESI仿宋-GB2312" w:hAnsi="CESI仿宋-GB2312" w:eastAsia="CESI仿宋-GB2312" w:cs="CESI仿宋-GB2312"/>
          <w:color w:val="000000" w:themeColor="text1"/>
          <w:kern w:val="2"/>
          <w:sz w:val="32"/>
          <w:szCs w:val="32"/>
          <w14:textFill>
            <w14:solidFill>
              <w14:schemeClr w14:val="tx1"/>
            </w14:solidFill>
          </w14:textFill>
        </w:rPr>
        <w:t>适用本条例。</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本条例所称城市垃圾包括生活垃圾和建筑垃圾。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第三条 城市垃圾管理坚持政府主导、社会参与、因地制宜的原则，推动实现城市垃圾减量化、资源化、无害化。</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第四条 市、县（市、区）人民政府应当加强对城市垃圾管理工作的领导，建立工作协调机制，将其纳入国民经济和社会发展规划，管理经费纳入本级财政预算。</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市、县（市、区）人民政府应当建立城市生活垃圾分类投放、分类收集、分类运输、分类处理管理系统，提高综合利用和无害化处置水平。</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市、县（市、区）人民政府应当建立城市建筑垃圾分类处理制度，制定源头减量、分类处理、消纳设施和场所布局以及建设等在内的污染环境防治工作规划。</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第五条 市、县（市、区）人民政府生态环境主管部门对城市垃圾污染环境防治工作实施统一监督管理。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市、县（市、区）人民政府环境卫生主管部门负责城市垃圾管理工作，建立城市垃圾全过程管理制度，规范城市垃圾的产生、收集、贮存、运输、利用、处置行为，加强城市垃圾处置设施、场所建设。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市、县（市、区）人民政府发展改革、教育、公安、财政、自然资源、交通、商务、市场监督管理等有关部门在各自职责范围内，做好城市垃圾管理的相关工作。</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第六条 产生生活垃圾的单位和个人应当按照规定交纳生活垃圾处理费。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建筑垃圾的处置收费，按照国家、省以及本市有关规定执行。</w:t>
      </w:r>
    </w:p>
    <w:p>
      <w:pPr>
        <w:pStyle w:val="7"/>
        <w:numPr>
          <w:ilvl w:val="0"/>
          <w:numId w:val="1"/>
        </w:numPr>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市、县（市、区）人民政府以及有关部门、街道办事处、居民委员会（社区）应当组织开展生活垃圾分类宣传，引导公众养成生活垃圾分类习惯。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学校应当定期组织开展生活垃圾分类教育和实践活动。</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鼓励志愿服务组织和志愿者开展生活垃圾分类的宣传、示范、指引等活动。</w:t>
      </w:r>
    </w:p>
    <w:p>
      <w:pPr>
        <w:pStyle w:val="7"/>
        <w:numPr>
          <w:ilvl w:val="0"/>
          <w:numId w:val="1"/>
        </w:numPr>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市、县（市、区）人民政府应当建立和完善城市垃圾管理的考核评价制度。</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开展群众性精神文明创建活动和卫生创建活动，应当将城市垃圾分类管理情况纳入测评内容。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第九条 市、县（市、区）人民政府环境卫生主管部门和其他负有监督管理职责的部门应当向社会公布举报和投诉方式，受理有关城市垃圾管理方面的举报和投诉并及时办理。</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第十条 生活垃圾分为可回收物、厨余垃圾、有害垃圾、其他垃圾，具体按照下列要求分类：</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（一）可回收物，是指适宜回收利用的生活垃圾，包括废弃的玻璃、金属、塑料、纸类、织物、家具、电器电子产品等；</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二）厨余垃圾，是指易腐烂、含有机质的生活垃圾，包括居民家庭日常生活中产生的家庭厨余垃圾，相关企业和公共机构在食品加工、饮食服务、单位供餐等活动中产生的餐厨垃圾，以及农贸市场、农产品批发市场、菜市场产生的其他厨余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三）有害垃圾，是指对人体健康或者自然环境具有直接或者潜在危害且应当进行专门处理的生活垃圾，包括废电池、废荧光灯管、废温度计、废血压计、废药品及其包装物、废油漆和溶剂及其包装物、废杀虫剂和消毒剂及其包装物、废矿物油及其包装物、废胶片及废相纸等；</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（四）其他垃圾，是指除可回收物、厨余垃圾、有害垃圾以外的其他生活垃圾。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第十一条 鼓励再生资源回收单位在住宅区、商场、超市、便利店等场所设置便民回收点或者回收设施，建立预约回收平台，公开交易目录以及价格，通过定点回收和上门回收等方式，提高可回收物的回收率。</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废旧的家具、家电等大件垃圾可单独投放，单独收集。</w:t>
      </w:r>
    </w:p>
    <w:p>
      <w:pPr>
        <w:pStyle w:val="7"/>
        <w:numPr>
          <w:ilvl w:val="0"/>
          <w:numId w:val="2"/>
        </w:numPr>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任何单位和个人都应当按照分类规定，在指定的地点将生活垃圾分类投放至相应的收集容器。其中，可回收物还可以交售至回收服务点或者回收经营者。</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禁止随意倾倒、抛撒、堆放或者焚烧生活垃圾。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禁止将危险废物、医疗废物、工业固体废物、建筑垃圾、农业固体废物等混入生活垃圾投放。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第十三条 产生餐厨垃圾的宾馆、饭店、餐馆以及机关、企事业单位、学校等应当落实餐厨垃圾源头减量、分类工作责任，按照规定单独收集、存放餐厨垃圾，并交由具备相应资质条件的单位收集、运输、处理。</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鼓励有条件的产生餐厨垃圾的单位对餐厨垃圾进行分选、脱水等预处理。</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餐厨垃圾不得排入公共水域、厕所、市政排水管道，不得混入其他类型生活垃圾。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第十四条 收集、运输生活垃圾的单位应当遵守下列规定：</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（一）按照环境卫生作业标准和作业规范，在规定的时间内及时清扫、收运生活垃圾；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（二）将生活垃圾分类运输至符合规定的转运或者处理场所；</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（三）配备使用符合标准的运输车辆密闭化运输生活垃圾，在运输过程中不得丢弃、遗撒垃圾以及滴漏污水；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（四）清扫、收运生活垃圾后，对生活垃圾收集设施及时保洁、复位，清理作业场地，保持生活垃圾收集设施和周边环境的干净整洁；</w:t>
      </w:r>
    </w:p>
    <w:p>
      <w:pPr>
        <w:pStyle w:val="7"/>
        <w:spacing w:before="0" w:beforeAutospacing="0" w:after="0" w:afterAutospacing="0" w:line="600" w:lineRule="exact"/>
        <w:ind w:firstLine="640" w:firstLineChars="200"/>
        <w:rPr>
          <w:color w:val="000000" w:themeColor="text1"/>
          <w:sz w:val="28"/>
          <w:szCs w:val="28"/>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（五）不得混合收集、运输已分类的生活垃圾，不得将危险废物、医疗废物、工业固体废物、建筑垃圾、农业固体废物等混入生活垃圾</w:t>
      </w:r>
      <w:r>
        <w:rPr>
          <w:rFonts w:hint="eastAsia"/>
          <w:color w:val="000000" w:themeColor="text1"/>
          <w:sz w:val="28"/>
          <w:szCs w:val="28"/>
          <w14:textFill>
            <w14:solidFill>
              <w14:schemeClr w14:val="tx1"/>
            </w14:solidFill>
          </w14:textFill>
        </w:rPr>
        <w:t>；</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（六）法律、法规的其他规定。</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第十五条 建设单位应当履行建筑垃圾源头减量义务，采取有效措施预防和减少建筑垃圾的产生和排放，将建筑垃圾减量化措施费用、处理费用纳入工程概算预算。</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建设单位、施工单位应当在工程招标文件、承包合同、施工组织设计中明确施工现场建筑垃圾源头减量的具体要求和措施，以及建筑垃圾综合利用产品的使用要求。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设计单位应当优化工程设计、提高设计质量，从源头减少建筑材料的消耗和建筑垃圾的产生，提高对建筑垃圾综合利用产品的使用；监理单位应当监督施工单位落实建筑垃圾源头减量措施。</w:t>
      </w:r>
    </w:p>
    <w:p>
      <w:pPr>
        <w:pStyle w:val="7"/>
        <w:numPr>
          <w:ilvl w:val="0"/>
          <w:numId w:val="3"/>
        </w:numPr>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施工单位应当编制建筑垃圾处理方案，采取污染防治措施，并报工程所在地县级人民政府</w:t>
      </w:r>
      <w:r>
        <w:rPr>
          <w:rFonts w:ascii="CESI仿宋-GB2312" w:hAnsi="CESI仿宋-GB2312" w:eastAsia="CESI仿宋-GB2312" w:cs="CESI仿宋-GB2312"/>
          <w:color w:val="000000" w:themeColor="text1"/>
          <w:kern w:val="2"/>
          <w:sz w:val="32"/>
          <w:szCs w:val="32"/>
          <w14:textFill>
            <w14:solidFill>
              <w14:schemeClr w14:val="tx1"/>
            </w14:solidFill>
          </w14:textFill>
        </w:rPr>
        <w:t>环境卫生主管部门</w:t>
      </w:r>
      <w:r>
        <w:rPr>
          <w:rFonts w:hint="eastAsia" w:ascii="CESI仿宋-GB2312" w:hAnsi="CESI仿宋-GB2312" w:eastAsia="CESI仿宋-GB2312" w:cs="CESI仿宋-GB2312"/>
          <w:color w:val="000000" w:themeColor="text1"/>
          <w:kern w:val="2"/>
          <w:sz w:val="32"/>
          <w:szCs w:val="32"/>
          <w14:textFill>
            <w14:solidFill>
              <w14:schemeClr w14:val="tx1"/>
            </w14:solidFill>
          </w14:textFill>
        </w:rPr>
        <w:t>备案。</w:t>
      </w:r>
    </w:p>
    <w:p>
      <w:pPr>
        <w:pStyle w:val="7"/>
        <w:spacing w:before="0" w:beforeAutospacing="0" w:after="0" w:afterAutospacing="0" w:line="600" w:lineRule="exact"/>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    工程施工单位应当及时清运工程施工过程中产生的建筑垃圾等固体废物，并按照环境卫生主管部门的规定进行利用或者处置。</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工程施工单位不得擅自倾倒、抛撒或者堆放工程施工过程中产生的建筑垃圾。</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建筑垃圾处理方案应当包括下列内容：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（一）施工单位基本信息；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（二）工程概况和建筑垃圾产生的种类、数量；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（三）建筑垃圾源头减量、分类收集、综合利用、污染防治的措施和目标；</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（四）需要外运的建筑垃圾种类、数量；</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（五）运输单位与运输的时间、路线和运输工具信息；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（六）建筑垃圾贮存、利用、处置场所名称；</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（七）法律、法规规定的其他内容。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建筑垃圾处理方案应当由施工单位、建设单位、运输单位和贮存、利用、处置单位签字盖章确认。 </w:t>
      </w:r>
    </w:p>
    <w:p>
      <w:pPr>
        <w:pStyle w:val="7"/>
        <w:numPr>
          <w:ilvl w:val="0"/>
          <w:numId w:val="4"/>
        </w:numPr>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建筑垃圾产生、收集、贮存、运输、利用、处置实行全过程联单管理制度，并逐步推进信息化电子联单管理。</w:t>
      </w:r>
    </w:p>
    <w:p>
      <w:pPr>
        <w:pStyle w:val="7"/>
        <w:spacing w:before="0" w:beforeAutospacing="0" w:after="0" w:afterAutospacing="0" w:line="600" w:lineRule="exact"/>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    建筑垃圾转移联单的格式由</w:t>
      </w:r>
      <w:r>
        <w:rPr>
          <w:rFonts w:ascii="CESI仿宋-GB2312" w:hAnsi="CESI仿宋-GB2312" w:eastAsia="CESI仿宋-GB2312" w:cs="CESI仿宋-GB2312"/>
          <w:color w:val="000000" w:themeColor="text1"/>
          <w:kern w:val="2"/>
          <w:sz w:val="32"/>
          <w:szCs w:val="32"/>
          <w14:textFill>
            <w14:solidFill>
              <w14:schemeClr w14:val="tx1"/>
            </w14:solidFill>
          </w14:textFill>
        </w:rPr>
        <w:t>环境卫生主管部门</w:t>
      </w:r>
      <w:r>
        <w:rPr>
          <w:rFonts w:hint="eastAsia" w:ascii="CESI仿宋-GB2312" w:hAnsi="CESI仿宋-GB2312" w:eastAsia="CESI仿宋-GB2312" w:cs="CESI仿宋-GB2312"/>
          <w:color w:val="000000" w:themeColor="text1"/>
          <w:kern w:val="2"/>
          <w:sz w:val="32"/>
          <w:szCs w:val="32"/>
          <w14:textFill>
            <w14:solidFill>
              <w14:schemeClr w14:val="tx1"/>
            </w14:solidFill>
          </w14:textFill>
        </w:rPr>
        <w:t>制定，应当包括下列内容：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（一）移出单位、承运单位、接受单位信息；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（二）转移建筑垃圾的种类、数量信息；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（三）运输建筑垃圾的时间、路线和运输工具信息。</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第十八条 居民装修房屋和不需办理施工许可的小型工程产生的建筑垃圾，应当与生活垃圾分别收集，并堆放到指定地点。</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住宅小区物业服务人为装修垃圾投放管理责任人。无物业服务人的，产生垃圾房屋的业主为管理责任人。</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第十九条 鼓励利用社会资本参与城市垃圾的清扫、收集、贮存、运输、利用、处置等工作，促进处理产业化发展，逐步建立和完善相应的社会服务体系。</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 xml:space="preserve">第二十条 鼓励和扶持发展城市垃圾综合利用项目，整合不同类型的垃圾处理，促进固体废物综合利用园区化、规模化、信息化和产业化。 </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第二十一条 建设贮存、利用、处置城市垃圾的项目，应当依法进行环境影响评价，并遵守国家有关建设项目环境保护管理的规定。</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建设项目属于建设工程的，还应当遵守国家有关建设工程的规定。</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第二十二条 城市垃圾处置单位应当遵守下列规定：</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（一）按照规定的分类标准接收、处理；</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（二）保持处理设施、设备正常运行，严格按照工程技术规范、操作规程、污染控制标准作业以及处理过程中产生的废水、废气、废渣等；</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（三）建立处理台账，记录运输单位、种类、数量；</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（四）按照国家有关规定，安装使用监测设备，实时监测污染物的排放情况，将污染排放数据实时公开；</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（五）制定应对设施故障、事故等突发事件的应急预案；</w:t>
      </w:r>
    </w:p>
    <w:p>
      <w:pPr>
        <w:pStyle w:val="7"/>
        <w:spacing w:before="0" w:beforeAutospacing="0" w:after="0" w:afterAutospacing="0" w:line="600" w:lineRule="exact"/>
        <w:ind w:firstLine="640" w:firstLineChars="200"/>
        <w:rPr>
          <w:rFonts w:ascii="CESI仿宋-GB2312" w:hAnsi="CESI仿宋-GB2312" w:eastAsia="CESI仿宋-GB2312" w:cs="CESI仿宋-GB2312"/>
          <w:color w:val="000000" w:themeColor="text1"/>
          <w:kern w:val="2"/>
          <w:sz w:val="32"/>
          <w:szCs w:val="32"/>
          <w14:textFill>
            <w14:solidFill>
              <w14:schemeClr w14:val="tx1"/>
            </w14:solidFill>
          </w14:textFill>
        </w:rPr>
      </w:pPr>
      <w:r>
        <w:rPr>
          <w:rFonts w:hint="eastAsia" w:ascii="CESI仿宋-GB2312" w:hAnsi="CESI仿宋-GB2312" w:eastAsia="CESI仿宋-GB2312" w:cs="CESI仿宋-GB2312"/>
          <w:color w:val="000000" w:themeColor="text1"/>
          <w:kern w:val="2"/>
          <w:sz w:val="32"/>
          <w:szCs w:val="32"/>
          <w14:textFill>
            <w14:solidFill>
              <w14:schemeClr w14:val="tx1"/>
            </w14:solidFill>
          </w14:textFill>
        </w:rPr>
        <w:t>（六）有关城市垃圾处理的其他规定。</w:t>
      </w:r>
    </w:p>
    <w:p>
      <w:pPr>
        <w:spacing w:line="600" w:lineRule="exact"/>
        <w:ind w:firstLine="640" w:firstLineChars="200"/>
        <w:jc w:val="left"/>
        <w:rPr>
          <w:rFonts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color w:val="000000" w:themeColor="text1"/>
          <w:sz w:val="32"/>
          <w:szCs w:val="32"/>
          <w14:textFill>
            <w14:solidFill>
              <w14:schemeClr w14:val="tx1"/>
            </w14:solidFill>
          </w14:textFill>
        </w:rPr>
        <w:t>第二十三条</w:t>
      </w:r>
      <w:r>
        <w:rPr>
          <w:rFonts w:hint="eastAsia" w:ascii="华文细黑" w:hAnsi="华文细黑" w:eastAsia="华文细黑" w:cs="华文细黑"/>
          <w:color w:val="000000" w:themeColor="text1"/>
          <w:spacing w:val="15"/>
          <w:kern w:val="0"/>
          <w:sz w:val="27"/>
          <w:szCs w:val="27"/>
          <w14:textFill>
            <w14:solidFill>
              <w14:schemeClr w14:val="tx1"/>
            </w14:solidFill>
          </w14:textFill>
        </w:rPr>
        <w:t> </w:t>
      </w:r>
      <w:r>
        <w:rPr>
          <w:rFonts w:hint="eastAsia" w:ascii="CESI仿宋-GB2312" w:hAnsi="CESI仿宋-GB2312" w:eastAsia="CESI仿宋-GB2312" w:cs="CESI仿宋-GB2312"/>
          <w:color w:val="000000" w:themeColor="text1"/>
          <w:sz w:val="32"/>
          <w:szCs w:val="32"/>
          <w14:textFill>
            <w14:solidFill>
              <w14:schemeClr w14:val="tx1"/>
            </w14:solidFill>
          </w14:textFill>
        </w:rPr>
        <w:t>违反本条例规定，法律、行政法规和本省人民代表大会及其常务委员会制定的地方性法规已有法律责任规定的，从其规定。</w:t>
      </w:r>
    </w:p>
    <w:p>
      <w:pPr>
        <w:pStyle w:val="2"/>
        <w:spacing w:line="600" w:lineRule="exact"/>
        <w:ind w:left="0" w:leftChars="0" w:firstLine="640"/>
        <w:rPr>
          <w:rFonts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color w:val="000000" w:themeColor="text1"/>
          <w:sz w:val="32"/>
          <w:szCs w:val="32"/>
          <w14:textFill>
            <w14:solidFill>
              <w14:schemeClr w14:val="tx1"/>
            </w14:solidFill>
          </w14:textFill>
        </w:rPr>
        <w:t>第二十四条 国家机关工作人员在城市垃圾管理工作中滥用职权、玩忽职守、徇私舞弊的，依法给予处分；构成犯罪的，依法追究刑事责任。</w:t>
      </w:r>
    </w:p>
    <w:p>
      <w:pPr>
        <w:spacing w:line="640" w:lineRule="exact"/>
        <w:ind w:firstLine="640" w:firstLineChars="200"/>
        <w:rPr>
          <w:rFonts w:ascii="CESI仿宋-GB2312" w:hAnsi="CESI仿宋-GB2312" w:eastAsia="CESI仿宋-GB2312" w:cs="CESI仿宋-GB2312"/>
          <w:color w:val="000000" w:themeColor="text1"/>
          <w:sz w:val="32"/>
          <w:szCs w:val="32"/>
          <w14:textFill>
            <w14:solidFill>
              <w14:schemeClr w14:val="tx1"/>
            </w14:solidFill>
          </w14:textFill>
        </w:rPr>
      </w:pPr>
      <w:r>
        <w:rPr>
          <w:rFonts w:hint="eastAsia" w:ascii="CESI仿宋-GB2312" w:hAnsi="CESI仿宋-GB2312" w:eastAsia="CESI仿宋-GB2312" w:cs="CESI仿宋-GB2312"/>
          <w:color w:val="000000" w:themeColor="text1"/>
          <w:sz w:val="32"/>
          <w:szCs w:val="32"/>
          <w14:textFill>
            <w14:solidFill>
              <w14:schemeClr w14:val="tx1"/>
            </w14:solidFill>
          </w14:textFill>
        </w:rPr>
        <w:t>第二十五条 本条例自 年 月 日起施行。</w:t>
      </w:r>
    </w:p>
    <w:p>
      <w:pPr>
        <w:spacing w:line="640" w:lineRule="exact"/>
        <w:rPr>
          <w:color w:val="000000" w:themeColor="text1"/>
          <w:sz w:val="28"/>
          <w:szCs w:val="28"/>
          <w14:textFill>
            <w14:solidFill>
              <w14:schemeClr w14:val="tx1"/>
            </w14:solidFill>
          </w14:textFill>
        </w:rPr>
      </w:pPr>
    </w:p>
    <w:p>
      <w:pPr>
        <w:spacing w:line="580" w:lineRule="exact"/>
        <w:ind w:firstLine="560" w:firstLineChars="200"/>
        <w:rPr>
          <w:rFonts w:ascii="仿宋" w:hAnsi="仿宋"/>
          <w:color w:val="000000" w:themeColor="text1"/>
          <w:sz w:val="28"/>
          <w:szCs w:val="28"/>
          <w14:textFill>
            <w14:solidFill>
              <w14:schemeClr w14:val="tx1"/>
            </w14:solidFill>
          </w14:textFill>
        </w:rPr>
      </w:pPr>
    </w:p>
    <w:p>
      <w:pPr>
        <w:rPr>
          <w:color w:val="000000" w:themeColor="text1"/>
          <w14:textFill>
            <w14:solidFill>
              <w14:schemeClr w14:val="tx1"/>
            </w14:solidFill>
          </w14:textFill>
        </w:rPr>
      </w:pPr>
    </w:p>
    <w:sectPr>
      <w:footerReference r:id="rId5" w:type="default"/>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华文细黑">
    <w:panose1 w:val="02010600040101010101"/>
    <w:charset w:val="86"/>
    <w:family w:val="auto"/>
    <w:pitch w:val="default"/>
    <w:sig w:usb0="00000287" w:usb1="080F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C059">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PAGE   \* MERGEFORMAT</w:instrText>
    </w:r>
    <w:r>
      <w:fldChar w:fldCharType="separate"/>
    </w:r>
    <w:r>
      <w:rPr>
        <w:lang w:val="zh-CN"/>
      </w:rPr>
      <w:t>2</w: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F7996"/>
    <w:multiLevelType w:val="singleLevel"/>
    <w:tmpl w:val="EBFF7996"/>
    <w:lvl w:ilvl="0" w:tentative="0">
      <w:start w:val="16"/>
      <w:numFmt w:val="chineseCounting"/>
      <w:suff w:val="space"/>
      <w:lvlText w:val="第%1条"/>
      <w:lvlJc w:val="left"/>
      <w:rPr>
        <w:rFonts w:hint="eastAsia"/>
      </w:rPr>
    </w:lvl>
  </w:abstractNum>
  <w:abstractNum w:abstractNumId="1">
    <w:nsid w:val="FABEE32B"/>
    <w:multiLevelType w:val="singleLevel"/>
    <w:tmpl w:val="FABEE32B"/>
    <w:lvl w:ilvl="0" w:tentative="0">
      <w:start w:val="7"/>
      <w:numFmt w:val="chineseCounting"/>
      <w:suff w:val="space"/>
      <w:lvlText w:val="第%1条"/>
      <w:lvlJc w:val="left"/>
      <w:rPr>
        <w:rFonts w:hint="eastAsia"/>
      </w:rPr>
    </w:lvl>
  </w:abstractNum>
  <w:abstractNum w:abstractNumId="2">
    <w:nsid w:val="3FFEBEE1"/>
    <w:multiLevelType w:val="singleLevel"/>
    <w:tmpl w:val="3FFEBEE1"/>
    <w:lvl w:ilvl="0" w:tentative="0">
      <w:start w:val="12"/>
      <w:numFmt w:val="chineseCounting"/>
      <w:suff w:val="space"/>
      <w:lvlText w:val="第%1条"/>
      <w:lvlJc w:val="left"/>
      <w:rPr>
        <w:rFonts w:hint="eastAsia"/>
      </w:rPr>
    </w:lvl>
  </w:abstractNum>
  <w:abstractNum w:abstractNumId="3">
    <w:nsid w:val="6690B3B8"/>
    <w:multiLevelType w:val="singleLevel"/>
    <w:tmpl w:val="6690B3B8"/>
    <w:lvl w:ilvl="0" w:tentative="0">
      <w:start w:val="17"/>
      <w:numFmt w:val="chineseCounting"/>
      <w:suff w:val="space"/>
      <w:lvlText w:val="第%1条"/>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7FB"/>
    <w:rsid w:val="00323D05"/>
    <w:rsid w:val="00362648"/>
    <w:rsid w:val="00380379"/>
    <w:rsid w:val="003C309F"/>
    <w:rsid w:val="004417FA"/>
    <w:rsid w:val="005808D8"/>
    <w:rsid w:val="00DE0A2A"/>
    <w:rsid w:val="00F607FB"/>
    <w:rsid w:val="AD2A4CE3"/>
    <w:rsid w:val="B6FFD9F3"/>
    <w:rsid w:val="FA1D0BEA"/>
    <w:rsid w:val="FEBD4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00" w:lineRule="exact"/>
      <w:jc w:val="both"/>
    </w:pPr>
    <w:rPr>
      <w:rFonts w:ascii="Calibri" w:hAnsi="Calibri" w:eastAsia="仿宋" w:cs="Times New Roman"/>
      <w:kern w:val="2"/>
      <w:sz w:val="24"/>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firstLineChars="200"/>
    </w:pPr>
  </w:style>
  <w:style w:type="paragraph" w:styleId="3">
    <w:name w:val="Body Text Indent"/>
    <w:basedOn w:val="1"/>
    <w:next w:val="4"/>
    <w:qFormat/>
    <w:uiPriority w:val="99"/>
    <w:pPr>
      <w:spacing w:after="120"/>
      <w:ind w:left="420" w:leftChars="200"/>
    </w:pPr>
  </w:style>
  <w:style w:type="paragraph" w:styleId="4">
    <w:name w:val="Normal Indent"/>
    <w:basedOn w:val="1"/>
    <w:next w:val="1"/>
    <w:unhideWhenUsed/>
    <w:qFormat/>
    <w:uiPriority w:val="99"/>
    <w:pPr>
      <w:ind w:firstLine="420" w:firstLineChars="200"/>
    </w:pPr>
    <w:rPr>
      <w:sz w:val="32"/>
    </w:rPr>
  </w:style>
  <w:style w:type="paragraph" w:styleId="5">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6">
    <w:name w:val="header"/>
    <w:basedOn w:val="1"/>
    <w:link w:val="10"/>
    <w:qFormat/>
    <w:uiPriority w:val="0"/>
    <w:pPr>
      <w:tabs>
        <w:tab w:val="center" w:pos="4153"/>
        <w:tab w:val="right" w:pos="8306"/>
      </w:tabs>
      <w:snapToGrid w:val="0"/>
      <w:spacing w:line="240" w:lineRule="atLeast"/>
      <w:jc w:val="center"/>
    </w:pPr>
    <w:rPr>
      <w:sz w:val="18"/>
      <w:szCs w:val="18"/>
    </w:rPr>
  </w:style>
  <w:style w:type="paragraph" w:styleId="7">
    <w:name w:val="Normal (Web)"/>
    <w:basedOn w:val="1"/>
    <w:qFormat/>
    <w:uiPriority w:val="0"/>
    <w:pPr>
      <w:spacing w:before="100" w:beforeAutospacing="1" w:after="100" w:afterAutospacing="1"/>
      <w:jc w:val="left"/>
    </w:pPr>
    <w:rPr>
      <w:kern w:val="0"/>
    </w:rPr>
  </w:style>
  <w:style w:type="character" w:customStyle="1" w:styleId="10">
    <w:name w:val="页眉 字符"/>
    <w:basedOn w:val="9"/>
    <w:link w:val="6"/>
    <w:qFormat/>
    <w:uiPriority w:val="0"/>
    <w:rPr>
      <w:rFonts w:ascii="Calibri" w:hAnsi="Calibri" w:eastAsia="仿宋"/>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522</Words>
  <Characters>2976</Characters>
  <Lines>24</Lines>
  <Paragraphs>6</Paragraphs>
  <TotalTime>3</TotalTime>
  <ScaleCrop>false</ScaleCrop>
  <LinksUpToDate>false</LinksUpToDate>
  <CharactersWithSpaces>3492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2024-07-12T23:23:00Z</dcterms:created>
  <dc:creator>c</dc:creator>
  <cp:lastModifiedBy>greatwall</cp:lastModifiedBy>
  <cp:lastPrinted>2024-07-13T00:05:00Z</cp:lastPrinted>
  <dcterms:modified xsi:type="dcterms:W3CDTF">2024-07-12T16:31:12Z</dcterms:modified>
  <dc:title>朔州市城市垃圾管理条例（草案）</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10D4C727EA0A4E798AEA595C01E5388F_12</vt:lpwstr>
  </property>
</Properties>
</file>